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045"/>
        <w:ind w:left="0" w:right="0" w:firstLine="0"/>
      </w:pPr>
      <w:r>
        <w:rPr>
          <w:rStyle w:val="CharStyle4"/>
        </w:rPr>
        <w:t xml:space="preserve">Příloha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6 k </w:t>
      </w:r>
      <w:r>
        <w:rPr>
          <w:rStyle w:val="CharStyle4"/>
        </w:rPr>
        <w:t xml:space="preserve">vyhlášce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č. 183/2018 Sb.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419" w:line="168" w:lineRule="exact"/>
        <w:ind w:left="4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místně a věcně příslušného vodoprávního úřadu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ŽÁDOST O POVOLENÍ K VYPOUŠTĚNÍ ODPADNÍCH VOD</w:t>
        <w:br/>
        <w:t>DO VOD PODZEMNÍCH PRO POTŘEBY JEDNOTLIVÝCH</w:t>
        <w:br/>
        <w:t>OSOB (DOMÁCNOSTÍ) NEBO O JEHO ZMĚNU</w:t>
      </w:r>
      <w:bookmarkEnd w:id="0"/>
    </w:p>
    <w:p>
      <w:pPr>
        <w:pStyle w:val="Style14"/>
        <w:widowControl w:val="0"/>
        <w:keepNext/>
        <w:keepLines/>
        <w:shd w:val="clear" w:color="auto" w:fill="auto"/>
        <w:bidi w:val="0"/>
        <w:spacing w:before="0"/>
        <w:ind w:left="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c) vodního zákona]</w:t>
      </w:r>
      <w:bookmarkEnd w:id="1"/>
    </w:p>
    <w:p>
      <w:pPr>
        <w:pStyle w:val="Style14"/>
        <w:numPr>
          <w:ilvl w:val="0"/>
          <w:numId w:val="1"/>
        </w:numPr>
        <w:tabs>
          <w:tab w:pos="394" w:val="left"/>
        </w:tabs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místa pobytu</w:t>
      </w:r>
    </w:p>
    <w:p>
      <w:pPr>
        <w:pStyle w:val="Style16"/>
        <w:tabs>
          <w:tab w:leader="dot" w:pos="8614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6"/>
        <w:tabs>
          <w:tab w:leader="dot" w:pos="487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narození </w:t>
        <w:tab/>
      </w:r>
    </w:p>
    <w:p>
      <w:pPr>
        <w:pStyle w:val="Style16"/>
        <w:tabs>
          <w:tab w:leader="dot" w:pos="487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6"/>
        <w:tabs>
          <w:tab w:leader="dot" w:pos="4873" w:val="left"/>
        </w:tabs>
        <w:widowControl w:val="0"/>
        <w:keepNext w:val="0"/>
        <w:keepLines w:val="0"/>
        <w:shd w:val="clear" w:color="auto" w:fill="auto"/>
        <w:bidi w:val="0"/>
        <w:spacing w:before="0" w:after="182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19" w:line="283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16"/>
        <w:numPr>
          <w:ilvl w:val="0"/>
          <w:numId w:val="3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73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6"/>
        <w:numPr>
          <w:ilvl w:val="0"/>
          <w:numId w:val="3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20" w:right="280" w:firstLine="0"/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pgSz w:w="11909" w:h="16834"/>
          <w:pgMar w:top="2213" w:left="2377" w:right="642" w:bottom="221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8"/>
        <w:numPr>
          <w:ilvl w:val="0"/>
          <w:numId w:val="1"/>
        </w:numPr>
        <w:tabs>
          <w:tab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povolení k vypouštění odpadních vod do vod podzemních: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vypouštění odpadních vod vydal:</w:t>
      </w:r>
    </w:p>
    <w:p>
      <w:pPr>
        <w:pStyle w:val="Style16"/>
        <w:tabs>
          <w:tab w:leader="dot" w:pos="4039" w:val="left"/>
          <w:tab w:leader="dot" w:pos="6444" w:val="left"/>
        </w:tabs>
        <w:widowControl w:val="0"/>
        <w:keepNext w:val="0"/>
        <w:keepLines w:val="0"/>
        <w:shd w:val="clear" w:color="auto" w:fill="auto"/>
        <w:bidi w:val="0"/>
        <w:spacing w:before="0" w:after="492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  <w:tab/>
        <w:t>čj</w:t>
        <w:tab/>
      </w:r>
    </w:p>
    <w:p>
      <w:pPr>
        <w:pStyle w:val="Style18"/>
        <w:numPr>
          <w:ilvl w:val="0"/>
          <w:numId w:val="1"/>
        </w:numPr>
        <w:tabs>
          <w:tab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 do vod podzemních</w:t>
      </w:r>
    </w:p>
    <w:p>
      <w:pPr>
        <w:pStyle w:val="Style16"/>
        <w:tabs>
          <w:tab w:pos="5432" w:val="left"/>
          <w:tab w:leader="dot" w:pos="644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6"/>
        <w:tabs>
          <w:tab w:pos="5432" w:val="left"/>
          <w:tab w:leader="dot" w:pos="644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6"/>
        <w:tabs>
          <w:tab w:leader="dot" w:pos="6444" w:val="left"/>
        </w:tabs>
        <w:widowControl w:val="0"/>
        <w:keepNext w:val="0"/>
        <w:keepLines w:val="0"/>
        <w:shd w:val="clear" w:color="auto" w:fill="auto"/>
        <w:bidi w:val="0"/>
        <w:spacing w:before="0" w:after="117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4" w:line="638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(V </w:t>
      </w:r>
      <w:r>
        <w:rPr>
          <w:rStyle w:val="CharStyle20"/>
        </w:rPr>
        <w:t>případě většího počtu se jejich seznam uvede v příloze žádosti: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□ </w:t>
      </w:r>
      <w:r>
        <w:rPr>
          <w:rStyle w:val="CharStyle20"/>
        </w:rPr>
        <w:t>ano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□ </w:t>
      </w:r>
      <w:r>
        <w:rPr>
          <w:rStyle w:val="CharStyle20"/>
        </w:rPr>
        <w:t xml:space="preserve">ne)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8"/>
        <w:numPr>
          <w:ilvl w:val="0"/>
          <w:numId w:val="1"/>
        </w:numPr>
        <w:tabs>
          <w:tab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požadovaném vypouštění odpadních vod do vod podzemních</w:t>
      </w:r>
    </w:p>
    <w:p>
      <w:pPr>
        <w:pStyle w:val="Style16"/>
        <w:tabs>
          <w:tab w:leader="dot" w:pos="7313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Druh vypouštěných odpadních vod </w:t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vypouštění odpadních vod (zasakování, rozstřik, apod.)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3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Vodní dílo/díla, popř. zařízení sloužící k vypouštění odpadních vod do vod podzemních</w:t>
      </w:r>
    </w:p>
    <w:p>
      <w:pPr>
        <w:pStyle w:val="Style16"/>
        <w:tabs>
          <w:tab w:pos="5432" w:val="left"/>
          <w:tab w:leader="dot" w:pos="8537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(název - typ)</w:t>
        <w:tab/>
        <w:tab/>
      </w:r>
    </w:p>
    <w:p>
      <w:pPr>
        <w:pStyle w:val="Style16"/>
        <w:tabs>
          <w:tab w:pos="5432" w:val="left"/>
          <w:tab w:leader="dot" w:pos="8537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čištění</w:t>
        <w:tab/>
        <w:tab/>
      </w:r>
    </w:p>
    <w:p>
      <w:pPr>
        <w:pStyle w:val="Style16"/>
        <w:tabs>
          <w:tab w:pos="5432" w:val="left"/>
          <w:tab w:leader="dot" w:pos="8537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napojených E0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2)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Navrhovaný způsob měření objemu vypouštěných vod</w:t>
      </w:r>
    </w:p>
    <w:p>
      <w:pPr>
        <w:pStyle w:val="Style16"/>
        <w:numPr>
          <w:ilvl w:val="0"/>
          <w:numId w:val="3"/>
        </w:numPr>
        <w:tabs>
          <w:tab w:pos="9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údajů vodoměru</w:t>
      </w:r>
    </w:p>
    <w:p>
      <w:pPr>
        <w:pStyle w:val="Style16"/>
        <w:numPr>
          <w:ilvl w:val="0"/>
          <w:numId w:val="3"/>
        </w:numPr>
        <w:tabs>
          <w:tab w:pos="9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měřením na výstupu z čistícího zařízení</w:t>
      </w:r>
    </w:p>
    <w:p>
      <w:pPr>
        <w:pStyle w:val="Style16"/>
        <w:numPr>
          <w:ilvl w:val="0"/>
          <w:numId w:val="3"/>
        </w:numPr>
        <w:tabs>
          <w:tab w:pos="9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41" w:line="36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směrných čísel roční potřeby vody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18"/>
        <w:numPr>
          <w:ilvl w:val="0"/>
          <w:numId w:val="1"/>
        </w:numPr>
        <w:tabs>
          <w:tab w:pos="387" w:val="left"/>
          <w:tab w:leader="dot" w:pos="85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Doba, na kterou je nakládání s vodami žádáno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  <w:tab/>
      </w:r>
    </w:p>
    <w:p>
      <w:pPr>
        <w:pStyle w:val="Style18"/>
        <w:numPr>
          <w:ilvl w:val="0"/>
          <w:numId w:val="1"/>
        </w:numPr>
        <w:tabs>
          <w:tab w:pos="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množství vypouštěných vod</w:t>
      </w:r>
    </w:p>
    <w:tbl>
      <w:tblPr>
        <w:tblOverlap w:val="never"/>
        <w:tblLayout w:type="fixed"/>
        <w:jc w:val="center"/>
      </w:tblPr>
      <w:tblGrid>
        <w:gridCol w:w="1219"/>
        <w:gridCol w:w="1944"/>
        <w:gridCol w:w="2798"/>
        <w:gridCol w:w="1752"/>
      </w:tblGrid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max.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40" w:right="0" w:firstLine="0"/>
            </w:pPr>
            <w:r>
              <w:rPr>
                <w:rStyle w:val="CharStyle23"/>
              </w:rPr>
              <w:t>I.s</w:t>
            </w:r>
            <w:r>
              <w:rPr>
                <w:rStyle w:val="CharStyle23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00" w:right="0" w:firstLine="0"/>
            </w:pPr>
            <w:r>
              <w:rPr>
                <w:rStyle w:val="CharStyle23"/>
              </w:rPr>
              <w:t>m</w:t>
            </w:r>
            <w:r>
              <w:rPr>
                <w:rStyle w:val="CharStyle23"/>
                <w:vertAlign w:val="superscript"/>
              </w:rPr>
              <w:t>3</w:t>
            </w:r>
            <w:r>
              <w:rPr>
                <w:rStyle w:val="CharStyle23"/>
              </w:rPr>
              <w:t>.měs"</w:t>
            </w:r>
            <w:r>
              <w:rPr>
                <w:rStyle w:val="CharStyle23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m</w:t>
            </w:r>
            <w:r>
              <w:rPr>
                <w:rStyle w:val="CharStyle23"/>
                <w:vertAlign w:val="superscript"/>
              </w:rPr>
              <w:t>3</w:t>
            </w:r>
            <w:r>
              <w:rPr>
                <w:rStyle w:val="CharStyle23"/>
              </w:rPr>
              <w:t>.rok"</w:t>
            </w:r>
            <w:r>
              <w:rPr>
                <w:rStyle w:val="CharStyle23"/>
                <w:vertAlign w:val="superscript"/>
              </w:rPr>
              <w:t>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prům.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40" w:right="0" w:firstLine="0"/>
            </w:pPr>
            <w:r>
              <w:rPr>
                <w:rStyle w:val="CharStyle23"/>
              </w:rPr>
              <w:t>l.s</w:t>
            </w:r>
            <w:r>
              <w:rPr>
                <w:rStyle w:val="CharStyle23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100" w:firstLine="0"/>
            </w:pPr>
            <w:r>
              <w:rPr>
                <w:rStyle w:val="CharStyle23"/>
              </w:rPr>
              <w:t>m</w:t>
            </w:r>
            <w:r>
              <w:rPr>
                <w:rStyle w:val="CharStyle23"/>
                <w:vertAlign w:val="superscript"/>
              </w:rPr>
              <w:t>3</w:t>
            </w:r>
            <w:r>
              <w:rPr>
                <w:rStyle w:val="CharStyle23"/>
              </w:rPr>
              <w:t>.měs"</w:t>
            </w:r>
            <w:r>
              <w:rPr>
                <w:rStyle w:val="CharStyle23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77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m</w:t>
            </w:r>
            <w:r>
              <w:rPr>
                <w:rStyle w:val="CharStyle23"/>
                <w:vertAlign w:val="superscript"/>
              </w:rPr>
              <w:t>3</w:t>
            </w:r>
            <w:r>
              <w:rPr>
                <w:rStyle w:val="CharStyle23"/>
              </w:rPr>
              <w:t>.rok'</w:t>
            </w:r>
            <w:r>
              <w:rPr>
                <w:rStyle w:val="CharStyle23"/>
                <w:vertAlign w:val="superscript"/>
              </w:rPr>
              <w:t>1</w:t>
            </w:r>
          </w:p>
        </w:tc>
      </w:tr>
    </w:tbl>
    <w:p>
      <w:pPr>
        <w:framePr w:w="77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127" w:line="283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a seznam měsíců zvýšené produkce odpadních vod (v případě sezónního charakteru vypouštění odpadních vod)</w:t>
      </w:r>
    </w:p>
    <w:p>
      <w:pPr>
        <w:pStyle w:val="Style14"/>
        <w:numPr>
          <w:ilvl w:val="0"/>
          <w:numId w:val="1"/>
        </w:numPr>
        <w:tabs>
          <w:tab w:pos="379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250" w:lineRule="exact"/>
        <w:ind w:left="44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Údaje o jakosti vypouštěných odpadních vod v ukazatelích znečištění stanovených zvláštním právním předpisem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  <w:bookmarkEnd w:id="4"/>
    </w:p>
    <w:tbl>
      <w:tblPr>
        <w:tblOverlap w:val="never"/>
        <w:tblLayout w:type="fixed"/>
        <w:jc w:val="center"/>
      </w:tblPr>
      <w:tblGrid>
        <w:gridCol w:w="1037"/>
        <w:gridCol w:w="850"/>
        <w:gridCol w:w="1032"/>
        <w:gridCol w:w="859"/>
        <w:gridCol w:w="878"/>
        <w:gridCol w:w="888"/>
        <w:gridCol w:w="1238"/>
        <w:gridCol w:w="1862"/>
      </w:tblGrid>
      <w:tr>
        <w:trPr>
          <w:trHeight w:val="269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960" w:right="0" w:firstLine="0"/>
            </w:pPr>
            <w:r>
              <w:rPr>
                <w:rStyle w:val="CharStyle23"/>
              </w:rPr>
              <w:t>„m“</w:t>
            </w:r>
            <w:r>
              <w:rPr>
                <w:rStyle w:val="CharStyle23"/>
                <w:vertAlign w:val="superscript"/>
              </w:rPr>
              <w:t>31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7"/>
              </w:rPr>
              <w:t>CHSKcr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BSKs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8"/>
              </w:rPr>
              <w:t>n-nh</w:t>
            </w:r>
            <w:r>
              <w:rPr>
                <w:rStyle w:val="CharStyle28"/>
                <w:vertAlign w:val="subscript"/>
              </w:rPr>
              <w:t>4</w:t>
            </w:r>
            <w:r>
              <w:rPr>
                <w:rStyle w:val="CharStyle28"/>
                <w:vertAlign w:val="superscript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NL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27"/>
              </w:rPr>
              <w:t>Ncelk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 xml:space="preserve">P </w:t>
            </w:r>
            <w:r>
              <w:rPr>
                <w:rStyle w:val="CharStyle27"/>
              </w:rPr>
              <w:t>celk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Escherichia</w:t>
            </w:r>
          </w:p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coli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3"/>
              </w:rPr>
              <w:t>Enterokoky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ukazatelů se jejich seznam</w:t>
      </w:r>
      <w:r>
        <w:rPr>
          <w:rStyle w:val="CharStyle26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členěni podle tohoto bodu uvede v příloze žádosti)</w:t>
      </w:r>
    </w:p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numPr>
          <w:ilvl w:val="0"/>
          <w:numId w:val="5"/>
        </w:numPr>
        <w:tabs>
          <w:tab w:pos="7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259" w:after="0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„m" je nepřekročitelná hodnota ukazatele znečištěni odpadních vod vypouštěných do vod podzemních a je vyjádřená v koncentraci v mg/l.</w:t>
      </w:r>
    </w:p>
    <w:p>
      <w:pPr>
        <w:pStyle w:val="Style21"/>
        <w:numPr>
          <w:ilvl w:val="0"/>
          <w:numId w:val="5"/>
        </w:numPr>
        <w:tabs>
          <w:tab w:pos="7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7"/>
        <w:ind w:left="7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„m" je nepřekročitelná hodnota ukazatele znečištění odpadních vod vypouštěných do vod podzemních vyjádřená v KU (kolonie tvořících jednotek) /100 ml.</w:t>
      </w:r>
    </w:p>
    <w:p>
      <w:pPr>
        <w:pStyle w:val="Style14"/>
        <w:numPr>
          <w:ilvl w:val="0"/>
          <w:numId w:val="1"/>
        </w:numPr>
        <w:tabs>
          <w:tab w:pos="379" w:val="left"/>
        </w:tabs>
        <w:widowControl w:val="0"/>
        <w:keepNext/>
        <w:keepLines/>
        <w:shd w:val="clear" w:color="auto" w:fill="auto"/>
        <w:bidi w:val="0"/>
        <w:jc w:val="left"/>
        <w:spacing w:before="0" w:after="35"/>
        <w:ind w:left="44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Zpracovatel vyjádření osoby s odbornou způsobilostí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61</w:t>
      </w:r>
      <w:bookmarkEnd w:id="5"/>
    </w:p>
    <w:p>
      <w:pPr>
        <w:pStyle w:val="Style16"/>
        <w:tabs>
          <w:tab w:leader="dot" w:pos="857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16"/>
        <w:tabs>
          <w:tab w:leader="dot" w:pos="857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16"/>
        <w:tabs>
          <w:tab w:leader="dot" w:pos="85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Číslo, pod kterým je zapsán v seznamu autorizovaných osob </w:t>
        <w:tab/>
      </w:r>
    </w:p>
    <w:p>
      <w:pPr>
        <w:pStyle w:val="Style29"/>
        <w:framePr w:w="875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1"/>
          <w:b w:val="0"/>
          <w:bCs w:val="0"/>
        </w:rPr>
        <w:t xml:space="preserve">9.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31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672"/>
        <w:gridCol w:w="5083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87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87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2"/>
              </w:rPr>
              <w:t>Adresa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7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875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[V případě většího počtu účastníků řízení než 4 se jejich seznam uvede v příloze žádosti:</w:t>
      </w:r>
      <w:r>
        <w:rPr>
          <w:rStyle w:val="CharStyle2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7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479" w:after="963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0"/>
        <w:ind w:left="0" w:right="960" w:firstLine="0"/>
        <w:sectPr>
          <w:pgSz w:w="11909" w:h="16834"/>
          <w:pgMar w:top="2169" w:left="2326" w:right="826" w:bottom="147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  <w:br/>
        <w:t>Cméno, popř. jména, příjmení)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331"/>
        <w:ind w:left="360" w:right="0" w:hanging="36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6"/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Situace širších vztahů místa vypouštění odpadních vod a jeho okolí, schematicky zakreslená do mapového podkladu zpravidla v měřítku 1:10 000 až 1:50 000.</w:t>
      </w:r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katastrální mapy území, jehož se povolení týká, včetně zakreslení místa vypouštění odpadních vod.</w:t>
      </w:r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povolení stavby vodního díla a povolení užívání vodního díla, pokud požadované povolení k nakládání s vodami souvisí se stávajícím vodním dílem a v minulosti bylo vydáno jiným úřadem než vodoprávním úřadem dnes příslušným k vydání povolení k nakládání s vodami; ustanovení § 125 odst. 1 stavebního zákona není dotčeno.</w:t>
      </w:r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právu, nelze-li toto právo ověřit v katastru nemovitostí, nebo právu užívání vodního díla, pokud požadované povolení k nakládání s vodami souvisí se stávajícím vodním dílem.</w:t>
      </w:r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 nebo jiném právu žadatele k pozemkům nebo stavbám nakládáním s vodami dotčeným, nelze-li toto právo ověřit v katastru nemovitostí, nebo souhlasy vlastníků pozemků nebo staveb nakládáním s vodami dotčeným, jedná-li se o žádost o povolení k nakládání s vodami sloužící jako podklad pro společné řízení podle § 94j nebo § 94q a následujících stavebního zákona.</w:t>
      </w:r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pro vydání společného povolení, pokud povolení k nakládání s vodami slouží jako podklad pro společné řízení podle § 94j nebo § 94q a následujících stavebního zákona.</w:t>
      </w:r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osoby s odbornou způsobilostí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’, které obsahuje:</w:t>
      </w:r>
    </w:p>
    <w:p>
      <w:pPr>
        <w:pStyle w:val="Style21"/>
        <w:numPr>
          <w:ilvl w:val="0"/>
          <w:numId w:val="9"/>
        </w:numPr>
        <w:tabs>
          <w:tab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10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 zpracovatele příslušné projektové dokumentace,</w:t>
      </w:r>
    </w:p>
    <w:p>
      <w:pPr>
        <w:pStyle w:val="Style21"/>
        <w:numPr>
          <w:ilvl w:val="0"/>
          <w:numId w:val="9"/>
        </w:numPr>
        <w:tabs>
          <w:tab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10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 popřípadě kolektoru, ve kterém se nachází podzemní vody, se kterými má být nakládáno,</w:t>
      </w:r>
    </w:p>
    <w:p>
      <w:pPr>
        <w:pStyle w:val="Style21"/>
        <w:numPr>
          <w:ilvl w:val="0"/>
          <w:numId w:val="9"/>
        </w:numPr>
        <w:tabs>
          <w:tab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10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 vod, mocnosti zvodnělé vrstvy směru proudění podzemních vod, se kterými má být nakládáno,</w:t>
      </w:r>
    </w:p>
    <w:p>
      <w:pPr>
        <w:pStyle w:val="Style21"/>
        <w:numPr>
          <w:ilvl w:val="0"/>
          <w:numId w:val="9"/>
        </w:numPr>
        <w:tabs>
          <w:tab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10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a jakosti zdrojů podzemních a povrchových vod nebo chráněných území vymezených zvláštními právními předpisy,</w:t>
      </w:r>
    </w:p>
    <w:p>
      <w:pPr>
        <w:pStyle w:val="Style21"/>
        <w:numPr>
          <w:ilvl w:val="0"/>
          <w:numId w:val="9"/>
        </w:numPr>
        <w:tabs>
          <w:tab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10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ovlivnění režimu přírodních léčivých zdrojů nebo zdrojů přírodních minerálních vod dané zřídelní struktury, pokud se dané vypouštění v oblasti takového zdroje nachází,</w:t>
      </w:r>
    </w:p>
    <w:p>
      <w:pPr>
        <w:pStyle w:val="Style21"/>
        <w:numPr>
          <w:ilvl w:val="0"/>
          <w:numId w:val="9"/>
        </w:numPr>
        <w:tabs>
          <w:tab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108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</w:r>
    </w:p>
    <w:p>
      <w:pPr>
        <w:pStyle w:val="Style21"/>
        <w:numPr>
          <w:ilvl w:val="0"/>
          <w:numId w:val="7"/>
        </w:numPr>
        <w:tabs>
          <w:tab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’:</w:t>
      </w:r>
    </w:p>
    <w:p>
      <w:pPr>
        <w:pStyle w:val="Style21"/>
        <w:numPr>
          <w:ilvl w:val="0"/>
          <w:numId w:val="3"/>
        </w:numPr>
        <w:tabs>
          <w:tab w:pos="7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přírody a krajiny </w:t>
        <w:tab/>
      </w:r>
    </w:p>
    <w:p>
      <w:pPr>
        <w:pStyle w:val="Style21"/>
        <w:tabs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ovzduší</w:t>
        <w:tab/>
      </w:r>
    </w:p>
    <w:p>
      <w:pPr>
        <w:pStyle w:val="Style21"/>
        <w:tabs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zemědělského půdního fondu </w:t>
        <w:tab/>
      </w:r>
    </w:p>
    <w:p>
      <w:pPr>
        <w:pStyle w:val="Style21"/>
        <w:tabs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lesa</w:t>
        <w:tab/>
      </w:r>
    </w:p>
    <w:p>
      <w:pPr>
        <w:pStyle w:val="Style21"/>
        <w:tabs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ložisek nerostných surovin 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odpadového hospodářství 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lázní a zřídel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prevence závažných havárií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veterinární péče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památkové péče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na pozemních komunikacích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drážní</w:t>
        <w:tab/>
      </w:r>
    </w:p>
    <w:p>
      <w:pPr>
        <w:pStyle w:val="Style21"/>
        <w:tabs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21"/>
        <w:tabs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21"/>
        <w:numPr>
          <w:ilvl w:val="0"/>
          <w:numId w:val="3"/>
        </w:numPr>
        <w:tabs>
          <w:tab w:pos="744" w:val="left"/>
          <w:tab w:leader="dot" w:pos="83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energetiky</w:t>
        <w:tab/>
      </w:r>
    </w:p>
    <w:p>
      <w:pPr>
        <w:pStyle w:val="Style21"/>
        <w:tabs>
          <w:tab w:leader="dot" w:pos="8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využívání jaderné energie a ionizujícího záření</w:t>
        <w:tab/>
      </w:r>
    </w:p>
    <w:p>
      <w:pPr>
        <w:pStyle w:val="Style21"/>
        <w:tabs>
          <w:tab w:leader="dot" w:pos="8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elektronických komunikací</w:t>
        <w:tab/>
      </w:r>
    </w:p>
    <w:p>
      <w:pPr>
        <w:pStyle w:val="Style21"/>
        <w:numPr>
          <w:ilvl w:val="0"/>
          <w:numId w:val="3"/>
        </w:numPr>
        <w:tabs>
          <w:tab w:pos="728" w:val="left"/>
          <w:tab w:leader="dot" w:pos="8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obrany státu</w:t>
        <w:tab/>
      </w:r>
    </w:p>
    <w:p>
      <w:pPr>
        <w:pStyle w:val="Style21"/>
        <w:numPr>
          <w:ilvl w:val="0"/>
          <w:numId w:val="3"/>
        </w:numPr>
        <w:tabs>
          <w:tab w:pos="732" w:val="left"/>
          <w:tab w:leader="dot" w:pos="8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bezpečnosti státu </w:t>
        <w:tab/>
      </w:r>
    </w:p>
    <w:p>
      <w:pPr>
        <w:pStyle w:val="Style21"/>
        <w:numPr>
          <w:ilvl w:val="0"/>
          <w:numId w:val="3"/>
        </w:numPr>
        <w:tabs>
          <w:tab w:pos="732" w:val="left"/>
          <w:tab w:leader="dot" w:pos="8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civilní ochrany</w:t>
        <w:tab/>
      </w:r>
    </w:p>
    <w:p>
      <w:pPr>
        <w:pStyle w:val="Style21"/>
        <w:tabs>
          <w:tab w:leader="dot" w:pos="8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požární ochrany</w:t>
        <w:tab/>
      </w:r>
    </w:p>
    <w:p>
      <w:pPr>
        <w:pStyle w:val="Style21"/>
        <w:numPr>
          <w:ilvl w:val="0"/>
          <w:numId w:val="3"/>
        </w:numPr>
        <w:tabs>
          <w:tab w:pos="732" w:val="left"/>
          <w:tab w:leader="dot" w:pos="8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21"/>
        <w:numPr>
          <w:ilvl w:val="0"/>
          <w:numId w:val="7"/>
        </w:numPr>
        <w:tabs>
          <w:tab w:pos="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žádosti o změnu povolení k vypouštění odpadních vod do vod podzemních podle povahy změny doklady podle bodů 1. až 8. a </w:t>
      </w:r>
      <w:r>
        <w:rPr>
          <w:rStyle w:val="CharStyle35"/>
        </w:rPr>
        <w:t xml:space="preserve">doklad o tom,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je </w:t>
      </w:r>
      <w:r>
        <w:rPr>
          <w:rStyle w:val="CharStyle35"/>
        </w:rPr>
        <w:t xml:space="preserve">oprávněným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(§ 8 odst. 2 vodního zákona) ze stávajícího povolení, bylo-li vydáno jiné osobě.</w:t>
      </w:r>
    </w:p>
    <w:p>
      <w:pPr>
        <w:pStyle w:val="Style21"/>
        <w:numPr>
          <w:ilvl w:val="0"/>
          <w:numId w:val="7"/>
        </w:numPr>
        <w:tabs>
          <w:tab w:pos="3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3" w:line="200" w:lineRule="exact"/>
        <w:ind w:left="300" w:right="0" w:hanging="300"/>
      </w:pPr>
      <w:r>
        <w:rPr>
          <w:rStyle w:val="CharStyle35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347"/>
        <w:ind w:left="300" w:right="0" w:hanging="30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7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Uvede se </w:t>
      </w:r>
      <w:r>
        <w:rPr>
          <w:rStyle w:val="CharStyle35"/>
        </w:rPr>
        <w:t xml:space="preserve">parcelní číslo pozemku,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kterém je umístěn výpustní objekt.</w:t>
      </w:r>
    </w:p>
    <w:p>
      <w:pPr>
        <w:pStyle w:val="Style21"/>
        <w:numPr>
          <w:ilvl w:val="0"/>
          <w:numId w:val="11"/>
        </w:numPr>
        <w:tabs>
          <w:tab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rStyle w:val="CharStyle35"/>
        </w:rPr>
        <w:t xml:space="preserve">Ekvivalentní obyvatel (EO)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definovaný produkcí znečištění 60g 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s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>
      <w:pPr>
        <w:pStyle w:val="Style21"/>
        <w:numPr>
          <w:ilvl w:val="0"/>
          <w:numId w:val="11"/>
        </w:numPr>
        <w:tabs>
          <w:tab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rStyle w:val="CharStyle35"/>
        </w:rPr>
        <w:t xml:space="preserve">Směrná čísla roční potřeby vody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určují potřebu pitné vody a zpravidla i množství vypouštěné odpadní vody a jsou dána přílohou č. 12 vyhlášky č. 428/2001 Sb., kterou se provádí zákon č. 274/2001 Sb., o vodovodech a kanalizacích pro veřejnou potřebu a o změně některých zákonů (zákon o vodovodech a kanalizacích), ve znění pozdějších předpisů.</w:t>
      </w:r>
    </w:p>
    <w:p>
      <w:pPr>
        <w:pStyle w:val="Style21"/>
        <w:numPr>
          <w:ilvl w:val="0"/>
          <w:numId w:val="11"/>
        </w:numPr>
        <w:tabs>
          <w:tab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rStyle w:val="CharStyle35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povolení k vypouštění odpadních vod nemůže být vydáno na dobu delší než </w:t>
      </w:r>
      <w:r>
        <w:rPr>
          <w:rStyle w:val="CharStyle35"/>
        </w:rPr>
        <w:t xml:space="preserve">10 let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(§ </w:t>
      </w:r>
      <w:r>
        <w:rPr>
          <w:rStyle w:val="CharStyle36"/>
        </w:rPr>
        <w:t>9 odst. 2 zákona o vodách).</w:t>
      </w:r>
    </w:p>
    <w:p>
      <w:pPr>
        <w:pStyle w:val="Style21"/>
        <w:numPr>
          <w:ilvl w:val="0"/>
          <w:numId w:val="11"/>
        </w:numPr>
        <w:tabs>
          <w:tab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rStyle w:val="CharStyle35"/>
        </w:rPr>
        <w:t xml:space="preserve">Nařízení vlády č. 57/2016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odpadních vod a náležitostech povolení k vypouštění odpadních vod do vod podzemních.</w:t>
      </w:r>
    </w:p>
    <w:p>
      <w:pPr>
        <w:pStyle w:val="Style21"/>
        <w:numPr>
          <w:ilvl w:val="0"/>
          <w:numId w:val="11"/>
        </w:numPr>
        <w:tabs>
          <w:tab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0" w:hanging="300"/>
      </w:pPr>
      <w:r>
        <w:rPr>
          <w:rStyle w:val="CharStyle35"/>
        </w:rPr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  <w:p>
      <w:pPr>
        <w:pStyle w:val="Style21"/>
        <w:numPr>
          <w:ilvl w:val="0"/>
          <w:numId w:val="11"/>
        </w:numPr>
        <w:tabs>
          <w:tab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35"/>
        </w:rPr>
        <w:t xml:space="preserve">zákon č. 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35"/>
        </w:rPr>
        <w:t xml:space="preserve">zákon č. 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35"/>
        </w:rPr>
        <w:t xml:space="preserve">zákon č. 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35"/>
        </w:rPr>
        <w:t xml:space="preserve">zákon č. 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headerReference w:type="even" r:id="rId8"/>
      <w:headerReference w:type="default" r:id="rId9"/>
      <w:headerReference w:type="first" r:id="rId10"/>
      <w:titlePg/>
      <w:pgSz w:w="11909" w:h="16834"/>
      <w:pgMar w:top="2169" w:left="2326" w:right="826" w:bottom="147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7pt;margin-top:72.8pt;width:429.85pt;height:8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58" w:val="right"/>
                    <w:tab w:pos="859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2768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1pt;margin-top:86.45pt;width:450.7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17.75pt;margin-top:72.55pt;width:430.8pt;height:9.1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</w:t>
                </w:r>
                <w:r>
                  <w:rPr>
                    <w:rStyle w:val="CharStyle9"/>
                  </w:rPr>
                  <w:t xml:space="preserve"> </w:t>
                </w:r>
                <w:r>
                  <w:rPr>
                    <w:rStyle w:val="CharStyle8"/>
                  </w:rPr>
                  <w:t>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2769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6.95pt;margin-top:86.pt;width:452.1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1.7pt;margin-top:73.45pt;width:430.55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2767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9pt;margin-top:86.9pt;width:451.7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5.1pt;margin-top:83.85pt;width:428.9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54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2771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3pt;margin-top:97.4pt;width:450.7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5.1pt;margin-top:83.85pt;width:428.9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54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2771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3pt;margin-top:97.4pt;width:450.7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7.7pt;margin-top:72.3pt;width:429.85pt;height:9.35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58" w:val="right"/>
                    <w:tab w:pos="859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2770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7.15pt;margin-top:86.2pt;width:450.9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">
    <w:name w:val="Char Style 4"/>
    <w:semiHidden/>
    <w:unhideWhenUsed/>
    <w:basedOn w:val="CharStyle3"/>
    <w:rPr>
      <w:lang w:val="cs-CZ" w:eastAsia="cs-CZ" w:bidi="cs-CZ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Char Style 7"/>
    <w:semiHidden/>
    <w:unhideWhenUsed/>
    <w:basedOn w:val="CharStyle6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6"/>
    <w:rPr>
      <w:lang w:val="cs-CZ" w:eastAsia="cs-CZ" w:bidi="cs-CZ"/>
      <w:b/>
      <w:bCs/>
      <w:sz w:val="21"/>
      <w:szCs w:val="21"/>
      <w:rFonts w:ascii="Arial" w:eastAsia="Arial" w:hAnsi="Arial" w:cs="Arial"/>
      <w:w w:val="120"/>
      <w:spacing w:val="0"/>
      <w:color w:val="000000"/>
      <w:position w:val="0"/>
    </w:rPr>
  </w:style>
  <w:style w:type="character" w:customStyle="1" w:styleId="CharStyle9">
    <w:name w:val="Char Style 9"/>
    <w:semiHidden/>
    <w:unhideWhenUsed/>
    <w:basedOn w:val="CharStyle6"/>
    <w:rPr>
      <w:lang w:val="cs-CZ" w:eastAsia="cs-CZ" w:bidi="cs-CZ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3">
    <w:name w:val="Char Style 13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20"/>
    </w:rPr>
  </w:style>
  <w:style w:type="character" w:customStyle="1" w:styleId="CharStyle15">
    <w:name w:val="Char Style 15"/>
    <w:basedOn w:val="DefaultParagraphFont"/>
    <w:link w:val="Style14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7">
    <w:name w:val="Char Style 17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Char Style 19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0">
    <w:name w:val="Char Style 20"/>
    <w:semiHidden/>
    <w:unhideWhenUsed/>
    <w:basedOn w:val="CharStyle1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2">
    <w:name w:val="Char Style 22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3">
    <w:name w:val="Char Style 23"/>
    <w:semiHidden/>
    <w:unhideWhenUsed/>
    <w:basedOn w:val="CharStyle22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6">
    <w:name w:val="Char Style 26"/>
    <w:semiHidden/>
    <w:unhideWhenUsed/>
    <w:basedOn w:val="CharStyle2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7">
    <w:name w:val="Char Style 27"/>
    <w:semiHidden/>
    <w:unhideWhenUsed/>
    <w:basedOn w:val="CharStyle22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28">
    <w:name w:val="Char Style 28"/>
    <w:semiHidden/>
    <w:unhideWhenUsed/>
    <w:basedOn w:val="CharStyle22"/>
    <w:rPr>
      <w:lang w:val="cs-CZ" w:eastAsia="cs-CZ" w:bidi="cs-CZ"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30">
    <w:name w:val="Char Style 30"/>
    <w:basedOn w:val="DefaultParagraphFont"/>
    <w:link w:val="Style2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1">
    <w:name w:val="Char Style 31"/>
    <w:semiHidden/>
    <w:unhideWhenUsed/>
    <w:basedOn w:val="CharStyle30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2">
    <w:name w:val="Char Style 32"/>
    <w:semiHidden/>
    <w:unhideWhenUsed/>
    <w:basedOn w:val="CharStyle22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4">
    <w:name w:val="Char Style 34"/>
    <w:basedOn w:val="DefaultParagraphFont"/>
    <w:link w:val="Style33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5">
    <w:name w:val="Char Style 35"/>
    <w:semiHidden/>
    <w:unhideWhenUsed/>
    <w:basedOn w:val="CharStyle2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22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2080" w:line="18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5">
    <w:name w:val="Style 5"/>
    <w:basedOn w:val="Normal"/>
    <w:link w:val="CharStyle6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before="2080" w:line="23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12">
    <w:name w:val="Style 12"/>
    <w:basedOn w:val="Normal"/>
    <w:link w:val="CharStyle13"/>
    <w:qFormat/>
    <w:pPr>
      <w:widowControl w:val="0"/>
      <w:shd w:val="clear" w:color="auto" w:fill="FFFFFF"/>
      <w:jc w:val="center"/>
      <w:outlineLvl w:val="0"/>
      <w:spacing w:before="680" w:line="49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20"/>
    </w:rPr>
  </w:style>
  <w:style w:type="paragraph" w:customStyle="1" w:styleId="Style14">
    <w:name w:val="Style 14"/>
    <w:basedOn w:val="Normal"/>
    <w:link w:val="CharStyle15"/>
    <w:qFormat/>
    <w:pPr>
      <w:widowControl w:val="0"/>
      <w:shd w:val="clear" w:color="auto" w:fill="FFFFFF"/>
      <w:jc w:val="center"/>
      <w:outlineLvl w:val="1"/>
      <w:spacing w:after="50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jc w:val="both"/>
      <w:spacing w:before="120" w:after="50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pPr>
      <w:widowControl w:val="0"/>
      <w:shd w:val="clear" w:color="auto" w:fill="FFFFFF"/>
      <w:spacing w:after="140"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1">
    <w:name w:val="Style 21"/>
    <w:basedOn w:val="Normal"/>
    <w:link w:val="CharStyle22"/>
    <w:qFormat/>
    <w:pPr>
      <w:widowControl w:val="0"/>
      <w:shd w:val="clear" w:color="auto" w:fill="FFFFFF"/>
      <w:spacing w:before="280" w:line="23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qFormat/>
    <w:pPr>
      <w:widowControl w:val="0"/>
      <w:shd w:val="clear" w:color="auto" w:fill="FFFFFF"/>
      <w:jc w:val="both"/>
      <w:spacing w:line="235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9">
    <w:name w:val="Style 29"/>
    <w:basedOn w:val="Normal"/>
    <w:link w:val="CharStyle30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3">
    <w:name w:val="Style 33"/>
    <w:basedOn w:val="Normal"/>
    <w:link w:val="CharStyle34"/>
    <w:pPr>
      <w:widowControl w:val="0"/>
      <w:shd w:val="clear" w:color="auto" w:fill="FFFFFF"/>
      <w:jc w:val="center"/>
      <w:spacing w:before="980" w:line="245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